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6BA" w:rsidRPr="00624F14" w:rsidRDefault="00BA20DD" w:rsidP="00BA20DD">
      <w:pPr>
        <w:jc w:val="center"/>
        <w:rPr>
          <w:rFonts w:ascii="Arial Narrow" w:hAnsi="Arial Narrow"/>
          <w:b/>
          <w:sz w:val="24"/>
          <w:szCs w:val="24"/>
        </w:rPr>
      </w:pPr>
      <w:r w:rsidRPr="00624F14">
        <w:rPr>
          <w:rFonts w:ascii="Arial Narrow" w:hAnsi="Arial Narrow"/>
          <w:b/>
          <w:sz w:val="24"/>
          <w:szCs w:val="24"/>
        </w:rPr>
        <w:t>SCHEDULE 1</w:t>
      </w:r>
    </w:p>
    <w:p w:rsidR="00BA20DD" w:rsidRPr="00624F14" w:rsidRDefault="00BA20DD">
      <w:pPr>
        <w:rPr>
          <w:rFonts w:ascii="Arial Narrow" w:hAnsi="Arial Narrow"/>
          <w:sz w:val="24"/>
          <w:szCs w:val="24"/>
        </w:rPr>
      </w:pPr>
      <w:r w:rsidRPr="00624F14">
        <w:rPr>
          <w:rFonts w:ascii="Arial Narrow" w:hAnsi="Arial Narrow"/>
          <w:b/>
          <w:sz w:val="24"/>
          <w:szCs w:val="24"/>
        </w:rPr>
        <w:t>Name of Public Enterprise:</w:t>
      </w:r>
      <w:r w:rsidR="007522AF" w:rsidRPr="00624F14">
        <w:rPr>
          <w:rFonts w:ascii="Arial Narrow" w:hAnsi="Arial Narrow"/>
          <w:b/>
          <w:sz w:val="24"/>
          <w:szCs w:val="24"/>
        </w:rPr>
        <w:tab/>
      </w:r>
      <w:r w:rsidR="007522AF" w:rsidRPr="00624F14">
        <w:rPr>
          <w:rFonts w:ascii="Arial Narrow" w:hAnsi="Arial Narrow"/>
          <w:sz w:val="24"/>
          <w:szCs w:val="24"/>
        </w:rPr>
        <w:t xml:space="preserve"> NATIONAL BANK OF TUVALU</w:t>
      </w:r>
    </w:p>
    <w:p w:rsidR="00BA20DD" w:rsidRPr="00624F14" w:rsidRDefault="00BA20DD">
      <w:pPr>
        <w:rPr>
          <w:rFonts w:ascii="Arial Narrow" w:hAnsi="Arial Narrow"/>
          <w:sz w:val="24"/>
          <w:szCs w:val="24"/>
        </w:rPr>
      </w:pPr>
      <w:r w:rsidRPr="00624F14">
        <w:rPr>
          <w:rFonts w:ascii="Arial Narrow" w:hAnsi="Arial Narrow"/>
          <w:b/>
          <w:sz w:val="24"/>
          <w:szCs w:val="24"/>
        </w:rPr>
        <w:t>Reporting period:</w:t>
      </w:r>
      <w:r w:rsidR="007522AF" w:rsidRPr="00624F14">
        <w:rPr>
          <w:rFonts w:ascii="Arial Narrow" w:hAnsi="Arial Narrow"/>
          <w:b/>
          <w:sz w:val="24"/>
          <w:szCs w:val="24"/>
        </w:rPr>
        <w:tab/>
      </w:r>
      <w:r w:rsidR="007522AF" w:rsidRPr="00624F14">
        <w:rPr>
          <w:rFonts w:ascii="Arial Narrow" w:hAnsi="Arial Narrow"/>
          <w:b/>
          <w:sz w:val="24"/>
          <w:szCs w:val="24"/>
        </w:rPr>
        <w:tab/>
      </w:r>
      <w:r w:rsidR="006F0FDB">
        <w:rPr>
          <w:rFonts w:ascii="Arial Narrow" w:hAnsi="Arial Narrow"/>
          <w:sz w:val="24"/>
          <w:szCs w:val="24"/>
        </w:rPr>
        <w:t xml:space="preserve">  30th September</w:t>
      </w:r>
      <w:r w:rsidR="0028055F" w:rsidRPr="00624F14">
        <w:rPr>
          <w:rFonts w:ascii="Arial Narrow" w:hAnsi="Arial Narrow"/>
          <w:sz w:val="24"/>
          <w:szCs w:val="24"/>
        </w:rPr>
        <w:t>,</w:t>
      </w:r>
      <w:r w:rsidR="007522AF" w:rsidRPr="00624F14">
        <w:rPr>
          <w:rFonts w:ascii="Arial Narrow" w:hAnsi="Arial Narrow"/>
          <w:sz w:val="24"/>
          <w:szCs w:val="24"/>
        </w:rPr>
        <w:t xml:space="preserve"> 2025</w:t>
      </w:r>
    </w:p>
    <w:p w:rsidR="00BA20DD" w:rsidRPr="00624F14" w:rsidRDefault="00BA20DD">
      <w:pPr>
        <w:rPr>
          <w:rFonts w:ascii="Arial Narrow" w:hAnsi="Arial Narrow"/>
          <w:b/>
          <w:sz w:val="24"/>
          <w:szCs w:val="24"/>
        </w:rPr>
      </w:pPr>
    </w:p>
    <w:p w:rsidR="00BA20DD" w:rsidRPr="00EF3EC6" w:rsidRDefault="00BA20DD">
      <w:pPr>
        <w:rPr>
          <w:rFonts w:ascii="Arial Narrow" w:hAnsi="Arial Narrow"/>
          <w:b/>
          <w:sz w:val="24"/>
          <w:szCs w:val="24"/>
          <w:u w:val="single"/>
        </w:rPr>
      </w:pPr>
      <w:r w:rsidRPr="00EF3EC6">
        <w:rPr>
          <w:rFonts w:ascii="Arial Narrow" w:hAnsi="Arial Narrow"/>
          <w:b/>
          <w:sz w:val="24"/>
          <w:szCs w:val="24"/>
          <w:u w:val="single"/>
        </w:rPr>
        <w:t>Short narrative summary of performance highlights and other significant events for the Public Enterprises during the reporting period:</w:t>
      </w:r>
    </w:p>
    <w:p w:rsidR="00EF3EC6" w:rsidRPr="00EF3EC6" w:rsidRDefault="00EF3EC6" w:rsidP="00EF3EC6">
      <w:pPr>
        <w:pStyle w:val="NormalWeb"/>
        <w:rPr>
          <w:rFonts w:ascii="Arial Narrow" w:hAnsi="Arial Narrow"/>
        </w:rPr>
      </w:pPr>
      <w:r w:rsidRPr="00EF3EC6">
        <w:rPr>
          <w:rFonts w:ascii="Arial Narrow" w:hAnsi="Arial Narrow"/>
        </w:rPr>
        <w:t xml:space="preserve">The National Bank of Tuvalu recorded a </w:t>
      </w:r>
      <w:r w:rsidRPr="00EF3EC6">
        <w:rPr>
          <w:rStyle w:val="Strong"/>
          <w:rFonts w:ascii="Arial Narrow" w:hAnsi="Arial Narrow"/>
          <w:b w:val="0"/>
        </w:rPr>
        <w:t>profit before tax of $4.72 million</w:t>
      </w:r>
      <w:r w:rsidRPr="00EF3EC6">
        <w:rPr>
          <w:rFonts w:ascii="Arial Narrow" w:hAnsi="Arial Narrow"/>
        </w:rPr>
        <w:t xml:space="preserve">, exceeding the projected </w:t>
      </w:r>
      <w:r w:rsidRPr="00EF3EC6">
        <w:rPr>
          <w:rStyle w:val="Strong"/>
          <w:rFonts w:ascii="Arial Narrow" w:hAnsi="Arial Narrow"/>
          <w:b w:val="0"/>
        </w:rPr>
        <w:t>$3.69</w:t>
      </w:r>
      <w:r w:rsidRPr="00EF3EC6">
        <w:rPr>
          <w:rStyle w:val="Strong"/>
          <w:rFonts w:ascii="Arial Narrow" w:hAnsi="Arial Narrow"/>
        </w:rPr>
        <w:t xml:space="preserve"> </w:t>
      </w:r>
      <w:r w:rsidRPr="00EF3EC6">
        <w:rPr>
          <w:rStyle w:val="Strong"/>
          <w:rFonts w:ascii="Arial Narrow" w:hAnsi="Arial Narrow"/>
          <w:b w:val="0"/>
        </w:rPr>
        <w:t>million</w:t>
      </w:r>
      <w:r w:rsidRPr="00EF3EC6">
        <w:rPr>
          <w:rFonts w:ascii="Arial Narrow" w:hAnsi="Arial Narrow"/>
        </w:rPr>
        <w:t xml:space="preserve">. The strong performance was mainly driven by higher-than-expected interest income from offshore investments and loans, which surpassed estimates by </w:t>
      </w:r>
      <w:r w:rsidRPr="00EF3EC6">
        <w:rPr>
          <w:rStyle w:val="Strong"/>
          <w:rFonts w:ascii="Arial Narrow" w:hAnsi="Arial Narrow"/>
          <w:b w:val="0"/>
        </w:rPr>
        <w:t>$447.83k</w:t>
      </w:r>
      <w:r w:rsidRPr="00EF3EC6">
        <w:rPr>
          <w:rFonts w:ascii="Arial Narrow" w:hAnsi="Arial Narrow"/>
          <w:b/>
        </w:rPr>
        <w:t>.</w:t>
      </w:r>
    </w:p>
    <w:p w:rsidR="00EF3EC6" w:rsidRPr="00EF3EC6" w:rsidRDefault="00EF3EC6" w:rsidP="00EF3EC6">
      <w:pPr>
        <w:pStyle w:val="NormalWeb"/>
        <w:rPr>
          <w:rFonts w:ascii="Arial Narrow" w:hAnsi="Arial Narrow"/>
        </w:rPr>
      </w:pPr>
      <w:r w:rsidRPr="00EF3EC6">
        <w:rPr>
          <w:rFonts w:ascii="Arial Narrow" w:hAnsi="Arial Narrow"/>
        </w:rPr>
        <w:t xml:space="preserve">Offshore investments with BRED Paris, BRED Fiji, and HFC Fiji continue to generate stable returns, and similar income levels are expected if interest rates remain </w:t>
      </w:r>
      <w:r w:rsidRPr="00EF3EC6">
        <w:rPr>
          <w:rFonts w:ascii="Arial Narrow" w:hAnsi="Arial Narrow"/>
        </w:rPr>
        <w:t>favorable</w:t>
      </w:r>
      <w:r w:rsidRPr="00EF3EC6">
        <w:rPr>
          <w:rFonts w:ascii="Arial Narrow" w:hAnsi="Arial Narrow"/>
        </w:rPr>
        <w:t>.</w:t>
      </w:r>
    </w:p>
    <w:p w:rsidR="00EF3EC6" w:rsidRPr="00EF3EC6" w:rsidRDefault="00EF3EC6" w:rsidP="00EF3EC6">
      <w:pPr>
        <w:pStyle w:val="NormalWeb"/>
        <w:rPr>
          <w:rFonts w:ascii="Arial Narrow" w:hAnsi="Arial Narrow"/>
        </w:rPr>
      </w:pPr>
      <w:r w:rsidRPr="00EF3EC6">
        <w:rPr>
          <w:rFonts w:ascii="Arial Narrow" w:hAnsi="Arial Narrow"/>
        </w:rPr>
        <w:t xml:space="preserve">Foreign exchange trading income </w:t>
      </w:r>
      <w:r w:rsidRPr="00EF3EC6">
        <w:rPr>
          <w:rFonts w:ascii="Arial Narrow" w:hAnsi="Arial Narrow"/>
        </w:rPr>
        <w:t>totaled</w:t>
      </w:r>
      <w:r w:rsidRPr="00EF3EC6">
        <w:rPr>
          <w:rFonts w:ascii="Arial Narrow" w:hAnsi="Arial Narrow"/>
        </w:rPr>
        <w:t xml:space="preserve"> </w:t>
      </w:r>
      <w:r w:rsidRPr="00EF3EC6">
        <w:rPr>
          <w:rStyle w:val="Strong"/>
          <w:rFonts w:ascii="Arial Narrow" w:hAnsi="Arial Narrow"/>
          <w:b w:val="0"/>
        </w:rPr>
        <w:t>$3.72 million</w:t>
      </w:r>
      <w:r w:rsidRPr="00EF3EC6">
        <w:rPr>
          <w:rFonts w:ascii="Arial Narrow" w:hAnsi="Arial Narrow"/>
        </w:rPr>
        <w:t xml:space="preserve">, slightly below the estimated </w:t>
      </w:r>
      <w:r w:rsidRPr="00EF3EC6">
        <w:rPr>
          <w:rStyle w:val="Strong"/>
          <w:rFonts w:ascii="Arial Narrow" w:hAnsi="Arial Narrow"/>
          <w:b w:val="0"/>
        </w:rPr>
        <w:t>$3.78 million</w:t>
      </w:r>
      <w:r w:rsidRPr="00EF3EC6">
        <w:rPr>
          <w:rFonts w:ascii="Arial Narrow" w:hAnsi="Arial Narrow"/>
        </w:rPr>
        <w:t xml:space="preserve">, while commissions and fees amounted to </w:t>
      </w:r>
      <w:r w:rsidRPr="00EF3EC6">
        <w:rPr>
          <w:rStyle w:val="Strong"/>
          <w:rFonts w:ascii="Arial Narrow" w:hAnsi="Arial Narrow"/>
          <w:b w:val="0"/>
        </w:rPr>
        <w:t>$647.82k</w:t>
      </w:r>
      <w:r w:rsidRPr="00EF3EC6">
        <w:rPr>
          <w:rFonts w:ascii="Arial Narrow" w:hAnsi="Arial Narrow"/>
        </w:rPr>
        <w:t xml:space="preserve">, also falling short of the </w:t>
      </w:r>
      <w:r w:rsidRPr="00EF3EC6">
        <w:rPr>
          <w:rStyle w:val="Strong"/>
          <w:rFonts w:ascii="Arial Narrow" w:hAnsi="Arial Narrow"/>
          <w:b w:val="0"/>
        </w:rPr>
        <w:t>$720k</w:t>
      </w:r>
      <w:r w:rsidRPr="00EF3EC6">
        <w:rPr>
          <w:rFonts w:ascii="Arial Narrow" w:hAnsi="Arial Narrow"/>
        </w:rPr>
        <w:t xml:space="preserve"> estimate. Interest expenses on customer deposits were </w:t>
      </w:r>
      <w:r w:rsidRPr="00EF3EC6">
        <w:rPr>
          <w:rStyle w:val="Strong"/>
          <w:rFonts w:ascii="Arial Narrow" w:hAnsi="Arial Narrow"/>
          <w:b w:val="0"/>
        </w:rPr>
        <w:t>$524.82k</w:t>
      </w:r>
      <w:r w:rsidRPr="00EF3EC6">
        <w:rPr>
          <w:rFonts w:ascii="Arial Narrow" w:hAnsi="Arial Narrow"/>
        </w:rPr>
        <w:t xml:space="preserve">, marginally above the projected </w:t>
      </w:r>
      <w:r w:rsidRPr="00EF3EC6">
        <w:rPr>
          <w:rStyle w:val="Strong"/>
          <w:rFonts w:ascii="Arial Narrow" w:hAnsi="Arial Narrow"/>
          <w:b w:val="0"/>
        </w:rPr>
        <w:t>$495k</w:t>
      </w:r>
      <w:r w:rsidRPr="00EF3EC6">
        <w:rPr>
          <w:rFonts w:ascii="Arial Narrow" w:hAnsi="Arial Narrow"/>
        </w:rPr>
        <w:t>.</w:t>
      </w:r>
    </w:p>
    <w:p w:rsidR="00EF3EC6" w:rsidRPr="00EF3EC6" w:rsidRDefault="00EF3EC6" w:rsidP="00EF3EC6">
      <w:pPr>
        <w:pStyle w:val="NormalWeb"/>
        <w:rPr>
          <w:rFonts w:ascii="Arial Narrow" w:hAnsi="Arial Narrow"/>
        </w:rPr>
      </w:pPr>
      <w:r w:rsidRPr="00EF3EC6">
        <w:rPr>
          <w:rFonts w:ascii="Arial Narrow" w:hAnsi="Arial Narrow"/>
        </w:rPr>
        <w:t>All expenditure categories remained within budget. Some variances reflect items yet to be incurred, such as audit fees still in progress. No new provisions were recorded pending updates from external auditors.</w:t>
      </w:r>
    </w:p>
    <w:p w:rsidR="00EF3EC6" w:rsidRPr="00EF3EC6" w:rsidRDefault="00EF3EC6" w:rsidP="00EF3EC6">
      <w:pPr>
        <w:pStyle w:val="NormalWeb"/>
        <w:rPr>
          <w:rFonts w:ascii="Arial Narrow" w:hAnsi="Arial Narrow"/>
        </w:rPr>
      </w:pPr>
      <w:r w:rsidRPr="00EF3EC6">
        <w:rPr>
          <w:rFonts w:ascii="Arial Narrow" w:hAnsi="Arial Narrow"/>
        </w:rPr>
        <w:t xml:space="preserve">Net interest income exceeded expectations by </w:t>
      </w:r>
      <w:r w:rsidRPr="00EF3EC6">
        <w:rPr>
          <w:rStyle w:val="Strong"/>
          <w:rFonts w:ascii="Arial Narrow" w:hAnsi="Arial Narrow"/>
          <w:b w:val="0"/>
        </w:rPr>
        <w:t>$418k</w:t>
      </w:r>
      <w:r w:rsidRPr="00EF3EC6">
        <w:rPr>
          <w:rFonts w:ascii="Arial Narrow" w:hAnsi="Arial Narrow"/>
        </w:rPr>
        <w:t xml:space="preserve"> due to increased investment income.</w:t>
      </w:r>
    </w:p>
    <w:p w:rsidR="00EF3EC6" w:rsidRPr="00EF3EC6" w:rsidRDefault="00EF3EC6" w:rsidP="00EF3EC6">
      <w:pPr>
        <w:pStyle w:val="NormalWeb"/>
        <w:rPr>
          <w:rFonts w:ascii="Arial Narrow" w:hAnsi="Arial Narrow"/>
          <w:b/>
        </w:rPr>
      </w:pPr>
      <w:r w:rsidRPr="00EF3EC6">
        <w:rPr>
          <w:rFonts w:ascii="Arial Narrow" w:hAnsi="Arial Narrow"/>
        </w:rPr>
        <w:t xml:space="preserve">Overall, the Bank remains profitable and financially stable, closing the period with a </w:t>
      </w:r>
      <w:r w:rsidRPr="00EF3EC6">
        <w:rPr>
          <w:rStyle w:val="Strong"/>
          <w:rFonts w:ascii="Arial Narrow" w:hAnsi="Arial Narrow"/>
          <w:b w:val="0"/>
        </w:rPr>
        <w:t>profit before tax of $4.72 million</w:t>
      </w:r>
      <w:r w:rsidRPr="00EF3EC6">
        <w:rPr>
          <w:rFonts w:ascii="Arial Narrow" w:hAnsi="Arial Narrow"/>
          <w:b/>
        </w:rPr>
        <w:t>.</w:t>
      </w:r>
      <w:bookmarkStart w:id="0" w:name="_GoBack"/>
      <w:bookmarkEnd w:id="0"/>
    </w:p>
    <w:p w:rsidR="00EF3EC6" w:rsidRPr="00EF3EC6" w:rsidRDefault="00EF3EC6" w:rsidP="00624F14">
      <w:pPr>
        <w:pStyle w:val="NormalWeb"/>
        <w:rPr>
          <w:rFonts w:ascii="Arial Narrow" w:hAnsi="Arial Narrow"/>
        </w:rPr>
      </w:pPr>
    </w:p>
    <w:p w:rsidR="00624F14" w:rsidRPr="00BA20DD" w:rsidRDefault="00624F14">
      <w:pPr>
        <w:rPr>
          <w:rFonts w:ascii="Arial Narrow" w:hAnsi="Arial Narrow"/>
          <w:b/>
          <w:sz w:val="24"/>
          <w:szCs w:val="24"/>
          <w:u w:val="single"/>
        </w:rPr>
      </w:pPr>
    </w:p>
    <w:p w:rsidR="00BA20DD" w:rsidRDefault="00BA20DD">
      <w:pPr>
        <w:rPr>
          <w:rFonts w:ascii="Arial Narrow" w:hAnsi="Arial Narrow"/>
          <w:b/>
          <w:sz w:val="24"/>
          <w:szCs w:val="24"/>
          <w:u w:val="single"/>
        </w:rPr>
      </w:pPr>
      <w:r w:rsidRPr="00BA20DD">
        <w:rPr>
          <w:rFonts w:ascii="Arial Narrow" w:hAnsi="Arial Narrow"/>
          <w:b/>
          <w:sz w:val="24"/>
          <w:szCs w:val="24"/>
          <w:u w:val="single"/>
        </w:rPr>
        <w:t>Financial Information from Financial Reports (Unaudited figures)</w:t>
      </w:r>
    </w:p>
    <w:bookmarkStart w:id="1" w:name="_MON_1809931431"/>
    <w:bookmarkEnd w:id="1"/>
    <w:p w:rsidR="00BA20DD" w:rsidRDefault="000B764A">
      <w:pPr>
        <w:rPr>
          <w:rFonts w:ascii="Arial Narrow" w:hAnsi="Arial Narrow"/>
          <w:b/>
          <w:sz w:val="24"/>
          <w:szCs w:val="24"/>
          <w:u w:val="single"/>
        </w:rPr>
      </w:pPr>
      <w:r>
        <w:rPr>
          <w:rFonts w:ascii="Arial Narrow" w:hAnsi="Arial Narrow"/>
          <w:b/>
          <w:sz w:val="24"/>
          <w:szCs w:val="24"/>
          <w:u w:val="single"/>
        </w:rPr>
        <w:object w:dxaOrig="5640" w:dyaOrig="2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9.5pt;height:165.75pt" o:ole="">
            <v:imagedata r:id="rId4" o:title=""/>
          </v:shape>
          <o:OLEObject Type="Embed" ProgID="Excel.Sheet.12" ShapeID="_x0000_i1026" DrawAspect="Content" ObjectID="_1824963928" r:id="rId5"/>
        </w:object>
      </w:r>
    </w:p>
    <w:p w:rsidR="002A1BAD" w:rsidRPr="007522AF" w:rsidRDefault="007522AF">
      <w:pPr>
        <w:rPr>
          <w:rFonts w:ascii="Arial Narrow" w:hAnsi="Arial Narrow"/>
          <w:b/>
          <w:i/>
          <w:sz w:val="20"/>
          <w:szCs w:val="20"/>
        </w:rPr>
      </w:pPr>
      <w:r w:rsidRPr="007522AF">
        <w:rPr>
          <w:rFonts w:ascii="Arial Narrow" w:hAnsi="Arial Narrow"/>
          <w:b/>
          <w:i/>
          <w:sz w:val="20"/>
          <w:szCs w:val="20"/>
        </w:rPr>
        <w:lastRenderedPageBreak/>
        <w:t>Attached are Financial Statements these figures are obtained from</w:t>
      </w:r>
    </w:p>
    <w:p w:rsidR="002A1BAD" w:rsidRDefault="002A1BAD">
      <w:pPr>
        <w:rPr>
          <w:rFonts w:ascii="Arial Narrow" w:hAnsi="Arial Narrow"/>
          <w:b/>
          <w:sz w:val="24"/>
          <w:szCs w:val="24"/>
          <w:u w:val="single"/>
        </w:rPr>
      </w:pPr>
    </w:p>
    <w:p w:rsidR="002A1BAD" w:rsidRDefault="002A1BAD">
      <w:pPr>
        <w:rPr>
          <w:rFonts w:ascii="Arial Narrow" w:hAnsi="Arial Narrow"/>
          <w:b/>
          <w:sz w:val="24"/>
          <w:szCs w:val="24"/>
          <w:u w:val="single"/>
        </w:rPr>
      </w:pPr>
    </w:p>
    <w:p w:rsidR="002A1BAD" w:rsidRDefault="002A1BAD">
      <w:pPr>
        <w:rPr>
          <w:rFonts w:ascii="Arial Narrow" w:hAnsi="Arial Narrow"/>
          <w:b/>
          <w:sz w:val="24"/>
          <w:szCs w:val="24"/>
          <w:u w:val="single"/>
        </w:rPr>
      </w:pPr>
    </w:p>
    <w:p w:rsidR="007522AF" w:rsidRDefault="007522AF">
      <w:pPr>
        <w:rPr>
          <w:rFonts w:ascii="Arial Narrow" w:hAnsi="Arial Narrow"/>
          <w:b/>
          <w:sz w:val="24"/>
          <w:szCs w:val="24"/>
          <w:u w:val="single"/>
        </w:rPr>
      </w:pPr>
    </w:p>
    <w:p w:rsidR="002A1BAD" w:rsidRDefault="002A1BAD">
      <w:pPr>
        <w:rPr>
          <w:rFonts w:ascii="Arial Narrow" w:hAnsi="Arial Narrow"/>
          <w:b/>
          <w:sz w:val="24"/>
          <w:szCs w:val="24"/>
          <w:u w:val="single"/>
        </w:rPr>
      </w:pPr>
      <w:r>
        <w:rPr>
          <w:rFonts w:ascii="Arial Narrow" w:hAnsi="Arial Narrow"/>
          <w:b/>
          <w:sz w:val="24"/>
          <w:szCs w:val="24"/>
          <w:u w:val="single"/>
        </w:rPr>
        <w:t>Additional Financial Information required from Financial Institutions (macro-prudential reporting)</w:t>
      </w:r>
    </w:p>
    <w:bookmarkStart w:id="2" w:name="_MON_1809932754"/>
    <w:bookmarkEnd w:id="2"/>
    <w:p w:rsidR="002A1BAD" w:rsidRPr="00BA20DD" w:rsidRDefault="008C5711">
      <w:pPr>
        <w:rPr>
          <w:rFonts w:ascii="Arial Narrow" w:hAnsi="Arial Narrow"/>
          <w:b/>
          <w:sz w:val="24"/>
          <w:szCs w:val="24"/>
          <w:u w:val="single"/>
        </w:rPr>
      </w:pPr>
      <w:r>
        <w:rPr>
          <w:rFonts w:ascii="Arial Narrow" w:hAnsi="Arial Narrow"/>
          <w:b/>
          <w:sz w:val="24"/>
          <w:szCs w:val="24"/>
          <w:u w:val="single"/>
        </w:rPr>
        <w:object w:dxaOrig="10327" w:dyaOrig="1469">
          <v:shape id="_x0000_i1025" type="#_x0000_t75" style="width:516pt;height:73.5pt" o:ole="">
            <v:imagedata r:id="rId6" o:title=""/>
          </v:shape>
          <o:OLEObject Type="Embed" ProgID="Excel.Sheet.12" ShapeID="_x0000_i1025" DrawAspect="Content" ObjectID="_1824963929" r:id="rId7"/>
        </w:object>
      </w:r>
    </w:p>
    <w:sectPr w:rsidR="002A1BAD" w:rsidRPr="00BA20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EE"/>
    <w:rsid w:val="000676BB"/>
    <w:rsid w:val="00092F73"/>
    <w:rsid w:val="00097D79"/>
    <w:rsid w:val="000B764A"/>
    <w:rsid w:val="001B16BA"/>
    <w:rsid w:val="0028055F"/>
    <w:rsid w:val="002A1BAD"/>
    <w:rsid w:val="0032056A"/>
    <w:rsid w:val="00546CCE"/>
    <w:rsid w:val="005931DD"/>
    <w:rsid w:val="00624F14"/>
    <w:rsid w:val="006F0FDB"/>
    <w:rsid w:val="007522AF"/>
    <w:rsid w:val="008C5711"/>
    <w:rsid w:val="00AB1217"/>
    <w:rsid w:val="00B36DEE"/>
    <w:rsid w:val="00B42032"/>
    <w:rsid w:val="00BA20DD"/>
    <w:rsid w:val="00C96905"/>
    <w:rsid w:val="00D74F94"/>
    <w:rsid w:val="00EF3EC6"/>
    <w:rsid w:val="00FA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135B6-73A8-4E97-95D3-0A5D4D3E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2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092530">
      <w:bodyDiv w:val="1"/>
      <w:marLeft w:val="0"/>
      <w:marRight w:val="0"/>
      <w:marTop w:val="0"/>
      <w:marBottom w:val="0"/>
      <w:divBdr>
        <w:top w:val="none" w:sz="0" w:space="0" w:color="auto"/>
        <w:left w:val="none" w:sz="0" w:space="0" w:color="auto"/>
        <w:bottom w:val="none" w:sz="0" w:space="0" w:color="auto"/>
        <w:right w:val="none" w:sz="0" w:space="0" w:color="auto"/>
      </w:divBdr>
    </w:div>
    <w:div w:id="15046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2.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package" Target="embeddings/Microsoft_Excel_Worksheet1.xlsx"/><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Finance</dc:creator>
  <cp:keywords/>
  <dc:description/>
  <cp:lastModifiedBy>Manager Finance</cp:lastModifiedBy>
  <cp:revision>3</cp:revision>
  <dcterms:created xsi:type="dcterms:W3CDTF">2025-11-17T04:00:00Z</dcterms:created>
  <dcterms:modified xsi:type="dcterms:W3CDTF">2025-11-17T21:39:00Z</dcterms:modified>
</cp:coreProperties>
</file>