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16BA" w:rsidRPr="00624F14" w:rsidRDefault="00BA20DD" w:rsidP="00BA20DD">
      <w:pPr>
        <w:jc w:val="center"/>
        <w:rPr>
          <w:rFonts w:ascii="Arial Narrow" w:hAnsi="Arial Narrow"/>
          <w:b/>
          <w:sz w:val="24"/>
          <w:szCs w:val="24"/>
        </w:rPr>
      </w:pPr>
      <w:r w:rsidRPr="00624F14">
        <w:rPr>
          <w:rFonts w:ascii="Arial Narrow" w:hAnsi="Arial Narrow"/>
          <w:b/>
          <w:sz w:val="24"/>
          <w:szCs w:val="24"/>
        </w:rPr>
        <w:t>SCHEDULE 1</w:t>
      </w:r>
    </w:p>
    <w:p w:rsidR="00BA20DD" w:rsidRPr="00624F14" w:rsidRDefault="00BA20DD">
      <w:pPr>
        <w:rPr>
          <w:rFonts w:ascii="Arial Narrow" w:hAnsi="Arial Narrow"/>
          <w:sz w:val="24"/>
          <w:szCs w:val="24"/>
        </w:rPr>
      </w:pPr>
      <w:r w:rsidRPr="00624F14">
        <w:rPr>
          <w:rFonts w:ascii="Arial Narrow" w:hAnsi="Arial Narrow"/>
          <w:b/>
          <w:sz w:val="24"/>
          <w:szCs w:val="24"/>
        </w:rPr>
        <w:t>Name of Public Enterprise:</w:t>
      </w:r>
      <w:r w:rsidR="007522AF" w:rsidRPr="00624F14">
        <w:rPr>
          <w:rFonts w:ascii="Arial Narrow" w:hAnsi="Arial Narrow"/>
          <w:b/>
          <w:sz w:val="24"/>
          <w:szCs w:val="24"/>
        </w:rPr>
        <w:tab/>
      </w:r>
      <w:r w:rsidR="007522AF" w:rsidRPr="00624F14">
        <w:rPr>
          <w:rFonts w:ascii="Arial Narrow" w:hAnsi="Arial Narrow"/>
          <w:sz w:val="24"/>
          <w:szCs w:val="24"/>
        </w:rPr>
        <w:t xml:space="preserve"> NATIONAL BANK OF TUVALU</w:t>
      </w:r>
    </w:p>
    <w:p w:rsidR="00BA20DD" w:rsidRPr="00624F14" w:rsidRDefault="00BA20DD">
      <w:pPr>
        <w:rPr>
          <w:rFonts w:ascii="Arial Narrow" w:hAnsi="Arial Narrow"/>
          <w:sz w:val="24"/>
          <w:szCs w:val="24"/>
        </w:rPr>
      </w:pPr>
      <w:r w:rsidRPr="00624F14">
        <w:rPr>
          <w:rFonts w:ascii="Arial Narrow" w:hAnsi="Arial Narrow"/>
          <w:b/>
          <w:sz w:val="24"/>
          <w:szCs w:val="24"/>
        </w:rPr>
        <w:t>Reporting period:</w:t>
      </w:r>
      <w:r w:rsidR="007522AF" w:rsidRPr="00624F14">
        <w:rPr>
          <w:rFonts w:ascii="Arial Narrow" w:hAnsi="Arial Narrow"/>
          <w:b/>
          <w:sz w:val="24"/>
          <w:szCs w:val="24"/>
        </w:rPr>
        <w:tab/>
      </w:r>
      <w:r w:rsidR="007522AF" w:rsidRPr="00624F14">
        <w:rPr>
          <w:rFonts w:ascii="Arial Narrow" w:hAnsi="Arial Narrow"/>
          <w:b/>
          <w:sz w:val="24"/>
          <w:szCs w:val="24"/>
        </w:rPr>
        <w:tab/>
      </w:r>
      <w:r w:rsidR="00BB1F05">
        <w:rPr>
          <w:rFonts w:ascii="Arial Narrow" w:hAnsi="Arial Narrow"/>
          <w:sz w:val="24"/>
          <w:szCs w:val="24"/>
        </w:rPr>
        <w:t>31</w:t>
      </w:r>
      <w:r w:rsidR="00BB1F05" w:rsidRPr="00BB1F05">
        <w:rPr>
          <w:rFonts w:ascii="Arial Narrow" w:hAnsi="Arial Narrow"/>
          <w:sz w:val="24"/>
          <w:szCs w:val="24"/>
          <w:vertAlign w:val="superscript"/>
        </w:rPr>
        <w:t>st</w:t>
      </w:r>
      <w:r w:rsidR="00BB1F05">
        <w:rPr>
          <w:rFonts w:ascii="Arial Narrow" w:hAnsi="Arial Narrow"/>
          <w:sz w:val="24"/>
          <w:szCs w:val="24"/>
        </w:rPr>
        <w:t xml:space="preserve"> Dec 2025</w:t>
      </w:r>
    </w:p>
    <w:p w:rsidR="00BA20DD" w:rsidRPr="00624F14" w:rsidRDefault="00BA20DD">
      <w:pPr>
        <w:rPr>
          <w:rFonts w:ascii="Arial Narrow" w:hAnsi="Arial Narrow"/>
          <w:b/>
          <w:sz w:val="24"/>
          <w:szCs w:val="24"/>
        </w:rPr>
      </w:pPr>
    </w:p>
    <w:p w:rsidR="00BA20DD" w:rsidRPr="00624F14" w:rsidRDefault="00BA20DD">
      <w:pPr>
        <w:rPr>
          <w:rFonts w:ascii="Arial Narrow" w:hAnsi="Arial Narrow"/>
          <w:b/>
          <w:sz w:val="24"/>
          <w:szCs w:val="24"/>
          <w:u w:val="single"/>
        </w:rPr>
      </w:pPr>
      <w:r w:rsidRPr="00624F14">
        <w:rPr>
          <w:rFonts w:ascii="Arial Narrow" w:hAnsi="Arial Narrow"/>
          <w:b/>
          <w:sz w:val="24"/>
          <w:szCs w:val="24"/>
          <w:u w:val="single"/>
        </w:rPr>
        <w:t>Short narrative summary of performance highlights and other significant events for the Public Enterprises during the reporting period:</w:t>
      </w:r>
    </w:p>
    <w:p w:rsidR="00624F14" w:rsidRPr="00624F14" w:rsidRDefault="00624F14" w:rsidP="00624F14">
      <w:pPr>
        <w:pStyle w:val="NormalWeb"/>
        <w:rPr>
          <w:rFonts w:ascii="Arial Narrow" w:hAnsi="Arial Narrow"/>
        </w:rPr>
      </w:pPr>
      <w:r w:rsidRPr="00624F14">
        <w:rPr>
          <w:rFonts w:ascii="Arial Narrow" w:hAnsi="Arial Narrow"/>
        </w:rPr>
        <w:t xml:space="preserve">During the quarter ending </w:t>
      </w:r>
      <w:r w:rsidR="00AE1DF0">
        <w:rPr>
          <w:rFonts w:ascii="Arial Narrow" w:hAnsi="Arial Narrow"/>
        </w:rPr>
        <w:t>31</w:t>
      </w:r>
      <w:r w:rsidR="00AE1DF0" w:rsidRPr="00AE1DF0">
        <w:rPr>
          <w:rFonts w:ascii="Arial Narrow" w:hAnsi="Arial Narrow"/>
          <w:vertAlign w:val="superscript"/>
        </w:rPr>
        <w:t>st</w:t>
      </w:r>
      <w:r w:rsidR="00AE1DF0">
        <w:rPr>
          <w:rFonts w:ascii="Arial Narrow" w:hAnsi="Arial Narrow"/>
        </w:rPr>
        <w:t xml:space="preserve"> December</w:t>
      </w:r>
      <w:r w:rsidRPr="00624F14">
        <w:rPr>
          <w:rFonts w:ascii="Arial Narrow" w:hAnsi="Arial Narrow"/>
        </w:rPr>
        <w:t xml:space="preserve"> 2025, the National Bank of Tuvalu recorded a strong financial performance, achiev</w:t>
      </w:r>
      <w:r w:rsidR="00AE1DF0">
        <w:rPr>
          <w:rFonts w:ascii="Arial Narrow" w:hAnsi="Arial Narrow"/>
        </w:rPr>
        <w:t>ing a profit before tax of $6.157</w:t>
      </w:r>
      <w:r w:rsidRPr="00624F14">
        <w:rPr>
          <w:rFonts w:ascii="Arial Narrow" w:hAnsi="Arial Narrow"/>
        </w:rPr>
        <w:t xml:space="preserve"> million—surpassing projected targets and reflecting continued financial stability. Key performance drivers included higher-than-expected interest income from offshore investments and disciplined expenditure control across all operational categories.</w:t>
      </w:r>
    </w:p>
    <w:p w:rsidR="00624F14" w:rsidRPr="00624F14" w:rsidRDefault="00624F14" w:rsidP="00624F14">
      <w:pPr>
        <w:pStyle w:val="NormalWeb"/>
        <w:rPr>
          <w:rFonts w:ascii="Arial Narrow" w:hAnsi="Arial Narrow"/>
        </w:rPr>
      </w:pPr>
      <w:r w:rsidRPr="00624F14">
        <w:rPr>
          <w:rFonts w:ascii="Arial Narrow" w:hAnsi="Arial Narrow"/>
        </w:rPr>
        <w:t>Foreign</w:t>
      </w:r>
      <w:r w:rsidR="00D74F94">
        <w:rPr>
          <w:rFonts w:ascii="Arial Narrow" w:hAnsi="Arial Narrow"/>
        </w:rPr>
        <w:t xml:space="preserve"> exchange trading income</w:t>
      </w:r>
      <w:r w:rsidRPr="00624F14">
        <w:rPr>
          <w:rFonts w:ascii="Arial Narrow" w:hAnsi="Arial Narrow"/>
        </w:rPr>
        <w:t xml:space="preserve"> exceeded expectations, supported by an increase in inward foreign currency transactions. While commission and fee income fell marginally short of target, this was offset by improved interest income. Interest expenses on customer deposits were $</w:t>
      </w:r>
      <w:r w:rsidR="00884711">
        <w:rPr>
          <w:rFonts w:ascii="Arial Narrow" w:hAnsi="Arial Narrow"/>
        </w:rPr>
        <w:t>458.3K</w:t>
      </w:r>
      <w:r w:rsidRPr="00624F14">
        <w:rPr>
          <w:rFonts w:ascii="Arial Narrow" w:hAnsi="Arial Narrow"/>
        </w:rPr>
        <w:t xml:space="preserve"> above budget; however, net financing outcomes remained positive overall.</w:t>
      </w:r>
    </w:p>
    <w:p w:rsidR="00624F14" w:rsidRPr="00624F14" w:rsidRDefault="00624F14" w:rsidP="00624F14">
      <w:pPr>
        <w:pStyle w:val="NormalWeb"/>
        <w:rPr>
          <w:rFonts w:ascii="Arial Narrow" w:hAnsi="Arial Narrow"/>
        </w:rPr>
      </w:pPr>
      <w:r w:rsidRPr="00624F14">
        <w:rPr>
          <w:rFonts w:ascii="Arial Narrow" w:hAnsi="Arial Narrow"/>
        </w:rPr>
        <w:t>The Bank continues to exhibit sound financial management and maintains a confident outlook for sustainable growth and long-term profitability.</w:t>
      </w:r>
    </w:p>
    <w:p w:rsidR="00624F14" w:rsidRPr="00BA20DD" w:rsidRDefault="00624F14">
      <w:pPr>
        <w:rPr>
          <w:rFonts w:ascii="Arial Narrow" w:hAnsi="Arial Narrow"/>
          <w:b/>
          <w:sz w:val="24"/>
          <w:szCs w:val="24"/>
          <w:u w:val="single"/>
        </w:rPr>
      </w:pPr>
    </w:p>
    <w:p w:rsidR="00BA20DD" w:rsidRDefault="00BA20DD">
      <w:pPr>
        <w:rPr>
          <w:rFonts w:ascii="Arial Narrow" w:hAnsi="Arial Narrow"/>
          <w:b/>
          <w:sz w:val="24"/>
          <w:szCs w:val="24"/>
          <w:u w:val="single"/>
        </w:rPr>
      </w:pPr>
      <w:r w:rsidRPr="00BA20DD">
        <w:rPr>
          <w:rFonts w:ascii="Arial Narrow" w:hAnsi="Arial Narrow"/>
          <w:b/>
          <w:sz w:val="24"/>
          <w:szCs w:val="24"/>
          <w:u w:val="single"/>
        </w:rPr>
        <w:t>Financial Information from Finan</w:t>
      </w:r>
      <w:r w:rsidR="00AE1DF0">
        <w:rPr>
          <w:rFonts w:ascii="Arial Narrow" w:hAnsi="Arial Narrow"/>
          <w:b/>
          <w:sz w:val="24"/>
          <w:szCs w:val="24"/>
          <w:u w:val="single"/>
        </w:rPr>
        <w:t>cial Reports (Unaudited figures</w:t>
      </w:r>
      <w:bookmarkStart w:id="0" w:name="_MON_1809931431"/>
      <w:bookmarkEnd w:id="0"/>
      <w:r w:rsidR="00AE1DF0">
        <w:rPr>
          <w:rFonts w:ascii="Arial Narrow" w:hAnsi="Arial Narrow"/>
          <w:b/>
          <w:sz w:val="24"/>
          <w:szCs w:val="24"/>
          <w:u w:val="single"/>
        </w:rPr>
        <w:object w:dxaOrig="5640" w:dyaOrig="29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19.5pt;height:165.75pt" o:ole="">
            <v:imagedata r:id="rId4" o:title=""/>
          </v:shape>
          <o:OLEObject Type="Embed" ProgID="Excel.Sheet.12" ShapeID="_x0000_i1026" DrawAspect="Content" ObjectID="_1836389076" r:id="rId5"/>
        </w:object>
      </w:r>
    </w:p>
    <w:p w:rsidR="002A1BAD" w:rsidRPr="007522AF" w:rsidRDefault="007522AF">
      <w:pPr>
        <w:rPr>
          <w:rFonts w:ascii="Arial Narrow" w:hAnsi="Arial Narrow"/>
          <w:b/>
          <w:i/>
          <w:sz w:val="20"/>
          <w:szCs w:val="20"/>
        </w:rPr>
      </w:pPr>
      <w:r w:rsidRPr="007522AF">
        <w:rPr>
          <w:rFonts w:ascii="Arial Narrow" w:hAnsi="Arial Narrow"/>
          <w:b/>
          <w:i/>
          <w:sz w:val="20"/>
          <w:szCs w:val="20"/>
        </w:rPr>
        <w:t>Attached are Financial Statements these figures are obtained from</w:t>
      </w:r>
      <w:bookmarkStart w:id="1" w:name="_GoBack"/>
      <w:bookmarkEnd w:id="1"/>
    </w:p>
    <w:p w:rsidR="002A1BAD" w:rsidRDefault="002A1BAD">
      <w:pPr>
        <w:rPr>
          <w:rFonts w:ascii="Arial Narrow" w:hAnsi="Arial Narrow"/>
          <w:b/>
          <w:sz w:val="24"/>
          <w:szCs w:val="24"/>
          <w:u w:val="single"/>
        </w:rPr>
      </w:pPr>
    </w:p>
    <w:p w:rsidR="002A1BAD" w:rsidRDefault="002A1BAD">
      <w:pPr>
        <w:rPr>
          <w:rFonts w:ascii="Arial Narrow" w:hAnsi="Arial Narrow"/>
          <w:b/>
          <w:sz w:val="24"/>
          <w:szCs w:val="24"/>
          <w:u w:val="single"/>
        </w:rPr>
      </w:pPr>
    </w:p>
    <w:p w:rsidR="002A1BAD" w:rsidRDefault="002A1BAD">
      <w:pPr>
        <w:rPr>
          <w:rFonts w:ascii="Arial Narrow" w:hAnsi="Arial Narrow"/>
          <w:b/>
          <w:sz w:val="24"/>
          <w:szCs w:val="24"/>
          <w:u w:val="single"/>
        </w:rPr>
      </w:pPr>
    </w:p>
    <w:p w:rsidR="007522AF" w:rsidRDefault="007522AF">
      <w:pPr>
        <w:rPr>
          <w:rFonts w:ascii="Arial Narrow" w:hAnsi="Arial Narrow"/>
          <w:b/>
          <w:sz w:val="24"/>
          <w:szCs w:val="24"/>
          <w:u w:val="single"/>
        </w:rPr>
      </w:pPr>
    </w:p>
    <w:p w:rsidR="002A1BAD" w:rsidRDefault="002A1BAD">
      <w:pPr>
        <w:rPr>
          <w:rFonts w:ascii="Arial Narrow" w:hAnsi="Arial Narrow"/>
          <w:b/>
          <w:sz w:val="24"/>
          <w:szCs w:val="24"/>
          <w:u w:val="single"/>
        </w:rPr>
      </w:pPr>
      <w:r>
        <w:rPr>
          <w:rFonts w:ascii="Arial Narrow" w:hAnsi="Arial Narrow"/>
          <w:b/>
          <w:sz w:val="24"/>
          <w:szCs w:val="24"/>
          <w:u w:val="single"/>
        </w:rPr>
        <w:lastRenderedPageBreak/>
        <w:t>Additional Financial Information required from Financial Institutions (macro-prudential reporting)</w:t>
      </w:r>
    </w:p>
    <w:bookmarkStart w:id="2" w:name="_MON_1809932754"/>
    <w:bookmarkEnd w:id="2"/>
    <w:p w:rsidR="002A1BAD" w:rsidRPr="00BA20DD" w:rsidRDefault="008C5711">
      <w:pPr>
        <w:rPr>
          <w:rFonts w:ascii="Arial Narrow" w:hAnsi="Arial Narrow"/>
          <w:b/>
          <w:sz w:val="24"/>
          <w:szCs w:val="24"/>
          <w:u w:val="single"/>
        </w:rPr>
      </w:pPr>
      <w:r>
        <w:rPr>
          <w:rFonts w:ascii="Arial Narrow" w:hAnsi="Arial Narrow"/>
          <w:b/>
          <w:sz w:val="24"/>
          <w:szCs w:val="24"/>
          <w:u w:val="single"/>
        </w:rPr>
        <w:object w:dxaOrig="10327" w:dyaOrig="1469">
          <v:shape id="_x0000_i1025" type="#_x0000_t75" style="width:516pt;height:73.5pt" o:ole="">
            <v:imagedata r:id="rId6" o:title=""/>
          </v:shape>
          <o:OLEObject Type="Embed" ProgID="Excel.Sheet.12" ShapeID="_x0000_i1025" DrawAspect="Content" ObjectID="_1836389077" r:id="rId7"/>
        </w:object>
      </w:r>
    </w:p>
    <w:sectPr w:rsidR="002A1BAD" w:rsidRPr="00BA20D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DEE"/>
    <w:rsid w:val="000676BB"/>
    <w:rsid w:val="00097D79"/>
    <w:rsid w:val="001B16BA"/>
    <w:rsid w:val="0028055F"/>
    <w:rsid w:val="002A1BAD"/>
    <w:rsid w:val="0032056A"/>
    <w:rsid w:val="00522D3E"/>
    <w:rsid w:val="00546CCE"/>
    <w:rsid w:val="005931DD"/>
    <w:rsid w:val="00624F14"/>
    <w:rsid w:val="007522AF"/>
    <w:rsid w:val="00884711"/>
    <w:rsid w:val="008C5711"/>
    <w:rsid w:val="00AB1217"/>
    <w:rsid w:val="00AE1DF0"/>
    <w:rsid w:val="00B36DEE"/>
    <w:rsid w:val="00B42032"/>
    <w:rsid w:val="00BA20DD"/>
    <w:rsid w:val="00BB1F05"/>
    <w:rsid w:val="00C96905"/>
    <w:rsid w:val="00D74F94"/>
    <w:rsid w:val="00FA3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C135B6-73A8-4E97-95D3-0A5D4D3E1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20D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A20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5092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package" Target="embeddings/Microsoft_Excel_Worksheet2.xlsx"/><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emf"/><Relationship Id="rId5" Type="http://schemas.openxmlformats.org/officeDocument/2006/relationships/package" Target="embeddings/Microsoft_Excel_Worksheet1.xlsx"/><Relationship Id="rId4" Type="http://schemas.openxmlformats.org/officeDocument/2006/relationships/image" Target="media/image1.em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212</Words>
  <Characters>1211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Manager Finance</dc:creator>
  <cp:keywords/>
  <dc:description/>
  <cp:lastModifiedBy>Manager Finance</cp:lastModifiedBy>
  <cp:revision>3</cp:revision>
  <dcterms:created xsi:type="dcterms:W3CDTF">2026-03-30T02:47:00Z</dcterms:created>
  <dcterms:modified xsi:type="dcterms:W3CDTF">2026-03-30T03:18:00Z</dcterms:modified>
</cp:coreProperties>
</file>